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243" w:rsidRPr="004E0243" w:rsidRDefault="004E0243" w:rsidP="00AA0C70">
      <w:pPr>
        <w:rPr>
          <w:rFonts w:ascii="Calibri" w:hAnsi="Calibri"/>
        </w:rPr>
      </w:pPr>
    </w:p>
    <w:p w:rsidR="004E0243" w:rsidRPr="00AA0C70" w:rsidRDefault="00B244F1" w:rsidP="00AA0C70">
      <w:pPr>
        <w:rPr>
          <w:rFonts w:ascii="Calibri" w:hAnsi="Calibri"/>
          <w:b/>
          <w:bCs/>
          <w:sz w:val="32"/>
        </w:rPr>
      </w:pPr>
      <w:r>
        <w:rPr>
          <w:noProof/>
          <w:lang w:val="en-SG" w:eastAsia="en-SG"/>
        </w:rPr>
        <w:drawing>
          <wp:anchor distT="0" distB="0" distL="114300" distR="114300" simplePos="0" relativeHeight="251660288" behindDoc="1" locked="0" layoutInCell="1" allowOverlap="1">
            <wp:simplePos x="0" y="0"/>
            <wp:positionH relativeFrom="column">
              <wp:posOffset>4270375</wp:posOffset>
            </wp:positionH>
            <wp:positionV relativeFrom="paragraph">
              <wp:posOffset>4445</wp:posOffset>
            </wp:positionV>
            <wp:extent cx="2112645" cy="1982470"/>
            <wp:effectExtent l="0" t="0" r="1905" b="0"/>
            <wp:wrapTight wrapText="bothSides">
              <wp:wrapPolygon edited="0">
                <wp:start x="0" y="0"/>
                <wp:lineTo x="0" y="21379"/>
                <wp:lineTo x="21425" y="21379"/>
                <wp:lineTo x="21425" y="0"/>
                <wp:lineTo x="0" y="0"/>
              </wp:wrapPolygon>
            </wp:wrapTight>
            <wp:docPr id="82" name="Picture 82" descr="gfon373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fon373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2645" cy="198247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sz w:val="28"/>
          <w:lang w:val="en-SG" w:eastAsia="en-SG"/>
        </w:rPr>
        <w:drawing>
          <wp:anchor distT="0" distB="0" distL="114300" distR="114300" simplePos="0" relativeHeight="251658240" behindDoc="1" locked="0" layoutInCell="1" allowOverlap="1">
            <wp:simplePos x="0" y="0"/>
            <wp:positionH relativeFrom="column">
              <wp:posOffset>-8890</wp:posOffset>
            </wp:positionH>
            <wp:positionV relativeFrom="paragraph">
              <wp:posOffset>113030</wp:posOffset>
            </wp:positionV>
            <wp:extent cx="1180465" cy="1475105"/>
            <wp:effectExtent l="0" t="0" r="635" b="0"/>
            <wp:wrapTight wrapText="bothSides">
              <wp:wrapPolygon edited="0">
                <wp:start x="0" y="0"/>
                <wp:lineTo x="0" y="21200"/>
                <wp:lineTo x="21263" y="21200"/>
                <wp:lineTo x="21263" y="0"/>
                <wp:lineTo x="0" y="0"/>
              </wp:wrapPolygon>
            </wp:wrapTight>
            <wp:docPr id="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0465" cy="1475105"/>
                    </a:xfrm>
                    <a:prstGeom prst="rect">
                      <a:avLst/>
                    </a:prstGeom>
                    <a:noFill/>
                  </pic:spPr>
                </pic:pic>
              </a:graphicData>
            </a:graphic>
            <wp14:sizeRelH relativeFrom="page">
              <wp14:pctWidth>0</wp14:pctWidth>
            </wp14:sizeRelH>
            <wp14:sizeRelV relativeFrom="page">
              <wp14:pctHeight>0</wp14:pctHeight>
            </wp14:sizeRelV>
          </wp:anchor>
        </w:drawing>
      </w:r>
      <w:r w:rsidR="004E0243" w:rsidRPr="00AA0C70">
        <w:rPr>
          <w:rFonts w:ascii="Calibri" w:hAnsi="Calibri"/>
          <w:b/>
          <w:bCs/>
          <w:sz w:val="32"/>
        </w:rPr>
        <w:t>YEAR 1</w:t>
      </w:r>
      <w:r w:rsidR="00F067BA" w:rsidRPr="00AA0C70">
        <w:rPr>
          <w:rFonts w:ascii="Calibri" w:hAnsi="Calibri"/>
          <w:b/>
          <w:bCs/>
          <w:sz w:val="32"/>
        </w:rPr>
        <w:t>2</w:t>
      </w:r>
      <w:r w:rsidR="004E0243" w:rsidRPr="00AA0C70">
        <w:rPr>
          <w:rFonts w:ascii="Calibri" w:hAnsi="Calibri"/>
          <w:b/>
          <w:bCs/>
          <w:sz w:val="32"/>
        </w:rPr>
        <w:t xml:space="preserve"> CHEMISTRY</w:t>
      </w:r>
    </w:p>
    <w:p w:rsidR="004E0243" w:rsidRPr="00AA0C70" w:rsidRDefault="004E0243" w:rsidP="00AA0C70">
      <w:pPr>
        <w:rPr>
          <w:rFonts w:ascii="Calibri" w:hAnsi="Calibri"/>
          <w:b/>
          <w:bCs/>
          <w:sz w:val="32"/>
          <w:szCs w:val="28"/>
        </w:rPr>
      </w:pPr>
      <w:r w:rsidRPr="00AA0C70">
        <w:rPr>
          <w:rFonts w:ascii="Calibri" w:hAnsi="Calibri"/>
          <w:b/>
          <w:bCs/>
          <w:sz w:val="32"/>
          <w:szCs w:val="28"/>
        </w:rPr>
        <w:t xml:space="preserve">ASSESSMENT TASK </w:t>
      </w:r>
    </w:p>
    <w:p w:rsidR="004E0243" w:rsidRPr="00AA0C70" w:rsidRDefault="004E0243" w:rsidP="00AA0C70">
      <w:pPr>
        <w:rPr>
          <w:rFonts w:ascii="Calibri" w:hAnsi="Calibri"/>
          <w:b/>
          <w:bCs/>
          <w:sz w:val="40"/>
        </w:rPr>
      </w:pPr>
    </w:p>
    <w:p w:rsidR="004E0243" w:rsidRPr="00AA0C70" w:rsidRDefault="003C3BDE" w:rsidP="00AA0C70">
      <w:pPr>
        <w:rPr>
          <w:rFonts w:ascii="Calibri" w:hAnsi="Calibri"/>
          <w:b/>
          <w:bCs/>
          <w:sz w:val="36"/>
          <w:szCs w:val="32"/>
        </w:rPr>
      </w:pPr>
      <w:r>
        <w:rPr>
          <w:rFonts w:ascii="Calibri" w:hAnsi="Calibri"/>
          <w:b/>
          <w:bCs/>
          <w:sz w:val="36"/>
          <w:szCs w:val="32"/>
        </w:rPr>
        <w:t>CHEMICAL MONITORING &amp; MANAGEMENT</w:t>
      </w:r>
    </w:p>
    <w:p w:rsidR="004E0243" w:rsidRPr="00AA0C70" w:rsidRDefault="003C3BDE" w:rsidP="00AA0C70">
      <w:pPr>
        <w:rPr>
          <w:rFonts w:ascii="Calibri" w:hAnsi="Calibri"/>
          <w:b/>
          <w:bCs/>
          <w:sz w:val="32"/>
          <w:szCs w:val="28"/>
        </w:rPr>
      </w:pPr>
      <w:r>
        <w:rPr>
          <w:rFonts w:ascii="Calibri" w:hAnsi="Calibri"/>
          <w:b/>
          <w:bCs/>
          <w:sz w:val="32"/>
          <w:szCs w:val="28"/>
        </w:rPr>
        <w:t>Open-ended Investigation</w:t>
      </w:r>
    </w:p>
    <w:p w:rsidR="004E0243" w:rsidRPr="004E0243" w:rsidRDefault="004E0243" w:rsidP="004E0243">
      <w:pPr>
        <w:rPr>
          <w:rFonts w:ascii="Calibri" w:hAnsi="Calibri"/>
        </w:rPr>
      </w:pPr>
    </w:p>
    <w:p w:rsidR="004E0243" w:rsidRPr="004E0243" w:rsidRDefault="004E0243" w:rsidP="004E0243">
      <w:pPr>
        <w:rPr>
          <w:rFonts w:ascii="Calibri" w:hAnsi="Calibri"/>
        </w:rPr>
      </w:pPr>
    </w:p>
    <w:p w:rsidR="004E0243" w:rsidRDefault="004E0243" w:rsidP="004E0243">
      <w:pPr>
        <w:rPr>
          <w:rFonts w:ascii="Calibri" w:hAnsi="Calibri"/>
          <w:b/>
        </w:rPr>
      </w:pPr>
      <w:r>
        <w:rPr>
          <w:rFonts w:ascii="Calibri" w:hAnsi="Calibri"/>
          <w:b/>
        </w:rPr>
        <w:t>Introduction:</w:t>
      </w:r>
    </w:p>
    <w:p w:rsidR="004E0243" w:rsidRPr="00F067BA" w:rsidRDefault="00ED4FBE" w:rsidP="00AA0C70">
      <w:pPr>
        <w:jc w:val="both"/>
        <w:rPr>
          <w:rFonts w:ascii="Calibri" w:hAnsi="Calibri"/>
          <w:sz w:val="22"/>
          <w:szCs w:val="22"/>
        </w:rPr>
      </w:pPr>
      <w:r>
        <w:rPr>
          <w:rFonts w:ascii="Calibri" w:hAnsi="Calibri"/>
          <w:sz w:val="22"/>
          <w:szCs w:val="22"/>
        </w:rPr>
        <w:t xml:space="preserve">Plants need nutrients in order to grow effectively. The three major nutrients that plants need are nitrogen, phosphorous and potassium. There are others that are also important for healthy plant growth and sulfur is among these. Sulfur is commonly found in fertilisers in the form of sulphate. </w:t>
      </w:r>
      <w:r w:rsidRPr="00ED4FBE">
        <w:rPr>
          <w:rFonts w:ascii="Calibri" w:hAnsi="Calibri"/>
          <w:sz w:val="22"/>
          <w:szCs w:val="22"/>
        </w:rPr>
        <w:t xml:space="preserve">Microbes change </w:t>
      </w:r>
      <w:r>
        <w:rPr>
          <w:rFonts w:ascii="Calibri" w:hAnsi="Calibri"/>
          <w:sz w:val="22"/>
          <w:szCs w:val="22"/>
        </w:rPr>
        <w:t>sulfate</w:t>
      </w:r>
      <w:r w:rsidRPr="00ED4FBE">
        <w:rPr>
          <w:rFonts w:ascii="Calibri" w:hAnsi="Calibri"/>
          <w:sz w:val="22"/>
          <w:szCs w:val="22"/>
        </w:rPr>
        <w:t xml:space="preserve"> to sulfide compounds that enter the soil solution and can be taken up by plant roots for growth</w:t>
      </w:r>
      <w:r>
        <w:rPr>
          <w:rFonts w:ascii="Calibri" w:hAnsi="Calibri"/>
          <w:sz w:val="22"/>
          <w:szCs w:val="22"/>
        </w:rPr>
        <w:t xml:space="preserve">.  </w:t>
      </w:r>
      <w:r w:rsidR="009639CC">
        <w:rPr>
          <w:rFonts w:ascii="Calibri" w:hAnsi="Calibri"/>
          <w:sz w:val="22"/>
          <w:szCs w:val="22"/>
        </w:rPr>
        <w:t xml:space="preserve">Sulfur is needed to produce chlorophyll, aids in disease resistance, and also helps in growth and seed formation. </w:t>
      </w:r>
      <w:r>
        <w:rPr>
          <w:rFonts w:ascii="Calibri" w:hAnsi="Calibri"/>
          <w:sz w:val="22"/>
          <w:szCs w:val="22"/>
        </w:rPr>
        <w:t>While sulfur is normally found in sufficient concentrations in most soils, canola, broccoli and cabbages are three crops that commonly need additional sulfur added to the soil.</w:t>
      </w:r>
      <w:r w:rsidR="009639CC">
        <w:rPr>
          <w:rFonts w:ascii="Calibri" w:hAnsi="Calibri"/>
          <w:sz w:val="22"/>
          <w:szCs w:val="22"/>
        </w:rPr>
        <w:t xml:space="preserve"> Some commercial fertilisers contain sulfates along with other anions and cations. Epsom salt (</w:t>
      </w:r>
      <w:r w:rsidR="009639CC" w:rsidRPr="009639CC">
        <w:rPr>
          <w:rFonts w:ascii="Calibri" w:hAnsi="Calibri"/>
          <w:sz w:val="22"/>
          <w:szCs w:val="22"/>
        </w:rPr>
        <w:t>MgSO</w:t>
      </w:r>
      <w:r w:rsidR="009639CC" w:rsidRPr="009639CC">
        <w:rPr>
          <w:rFonts w:ascii="Calibri" w:hAnsi="Calibri"/>
          <w:sz w:val="22"/>
          <w:szCs w:val="22"/>
          <w:vertAlign w:val="subscript"/>
        </w:rPr>
        <w:t>4</w:t>
      </w:r>
      <w:r w:rsidR="009639CC">
        <w:rPr>
          <w:rFonts w:ascii="Calibri" w:hAnsi="Calibri"/>
          <w:sz w:val="22"/>
          <w:szCs w:val="22"/>
        </w:rPr>
        <w:t>)</w:t>
      </w:r>
      <w:r w:rsidR="009639CC" w:rsidRPr="009639CC">
        <w:rPr>
          <w:rFonts w:ascii="Calibri" w:hAnsi="Calibri"/>
          <w:sz w:val="22"/>
          <w:szCs w:val="22"/>
        </w:rPr>
        <w:t xml:space="preserve"> is</w:t>
      </w:r>
      <w:r w:rsidR="009639CC">
        <w:rPr>
          <w:rFonts w:ascii="Calibri" w:hAnsi="Calibri"/>
          <w:sz w:val="22"/>
          <w:szCs w:val="22"/>
        </w:rPr>
        <w:t xml:space="preserve"> also a good source of sulfate.</w:t>
      </w:r>
    </w:p>
    <w:p w:rsidR="00FE2D31" w:rsidRDefault="00FE2D31" w:rsidP="00AA0C70">
      <w:pPr>
        <w:jc w:val="both"/>
        <w:rPr>
          <w:rFonts w:ascii="Calibri" w:hAnsi="Calibri"/>
          <w:b/>
        </w:rPr>
      </w:pPr>
    </w:p>
    <w:p w:rsidR="004E0243" w:rsidRDefault="004E0243" w:rsidP="00AA0C70">
      <w:pPr>
        <w:jc w:val="both"/>
        <w:rPr>
          <w:rFonts w:ascii="Calibri" w:hAnsi="Calibri"/>
        </w:rPr>
      </w:pPr>
      <w:r>
        <w:rPr>
          <w:rFonts w:ascii="Calibri" w:hAnsi="Calibri"/>
          <w:b/>
        </w:rPr>
        <w:t>Outcomes Assessed:</w:t>
      </w:r>
    </w:p>
    <w:p w:rsidR="00245178"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10</w:t>
      </w:r>
      <w:r w:rsidR="00245178" w:rsidRPr="00650321">
        <w:rPr>
          <w:rFonts w:ascii="Calibri" w:hAnsi="Calibri"/>
          <w:sz w:val="20"/>
          <w:szCs w:val="20"/>
        </w:rPr>
        <w:t xml:space="preserve"> – </w:t>
      </w:r>
      <w:r w:rsidR="009639CC">
        <w:rPr>
          <w:rFonts w:ascii="Calibri" w:hAnsi="Calibri"/>
          <w:sz w:val="20"/>
          <w:szCs w:val="20"/>
        </w:rPr>
        <w:t>Analyses stoichiometric relationships</w:t>
      </w:r>
    </w:p>
    <w:p w:rsidR="006267AD"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11</w:t>
      </w:r>
      <w:r w:rsidR="00245178" w:rsidRPr="00650321">
        <w:rPr>
          <w:rFonts w:ascii="Calibri" w:hAnsi="Calibri"/>
          <w:sz w:val="20"/>
          <w:szCs w:val="20"/>
        </w:rPr>
        <w:t xml:space="preserve"> – </w:t>
      </w:r>
      <w:r w:rsidR="009639CC">
        <w:rPr>
          <w:rFonts w:ascii="Calibri" w:hAnsi="Calibri"/>
          <w:sz w:val="20"/>
          <w:szCs w:val="20"/>
        </w:rPr>
        <w:t>Justifies the appropriateness of a particular investigation plan</w:t>
      </w:r>
      <w:r w:rsidR="00245178" w:rsidRPr="00650321">
        <w:rPr>
          <w:rFonts w:ascii="Calibri" w:hAnsi="Calibri"/>
          <w:sz w:val="20"/>
          <w:szCs w:val="20"/>
        </w:rPr>
        <w:t xml:space="preserve"> </w:t>
      </w:r>
    </w:p>
    <w:p w:rsidR="00FE2D31" w:rsidRPr="00650321" w:rsidRDefault="00FE2D31" w:rsidP="00AA0C70">
      <w:pPr>
        <w:jc w:val="both"/>
        <w:rPr>
          <w:rFonts w:ascii="Calibri" w:hAnsi="Calibri"/>
          <w:sz w:val="20"/>
          <w:szCs w:val="20"/>
        </w:rPr>
      </w:pPr>
      <w:r w:rsidRPr="00650321">
        <w:rPr>
          <w:rFonts w:ascii="Calibri" w:hAnsi="Calibri"/>
          <w:sz w:val="20"/>
          <w:szCs w:val="20"/>
        </w:rPr>
        <w:t>H</w:t>
      </w:r>
      <w:r w:rsidR="009639CC">
        <w:rPr>
          <w:rFonts w:ascii="Calibri" w:hAnsi="Calibri"/>
          <w:sz w:val="20"/>
          <w:szCs w:val="20"/>
        </w:rPr>
        <w:t>12</w:t>
      </w:r>
      <w:r w:rsidRPr="00650321">
        <w:rPr>
          <w:rFonts w:ascii="Calibri" w:hAnsi="Calibri"/>
          <w:sz w:val="20"/>
          <w:szCs w:val="20"/>
        </w:rPr>
        <w:t xml:space="preserve"> – </w:t>
      </w:r>
      <w:r w:rsidR="009639CC">
        <w:rPr>
          <w:rFonts w:ascii="Calibri" w:hAnsi="Calibri"/>
          <w:sz w:val="20"/>
          <w:szCs w:val="20"/>
        </w:rPr>
        <w:t>Evaluates the ways in which accuracy and reliability could be improved in investigations</w:t>
      </w:r>
    </w:p>
    <w:p w:rsidR="004E0243" w:rsidRPr="00650321" w:rsidRDefault="00FE2D31" w:rsidP="00AA0C70">
      <w:pPr>
        <w:jc w:val="both"/>
        <w:rPr>
          <w:rFonts w:ascii="Calibri" w:hAnsi="Calibri"/>
          <w:sz w:val="20"/>
          <w:szCs w:val="20"/>
        </w:rPr>
      </w:pPr>
      <w:r w:rsidRPr="00650321">
        <w:rPr>
          <w:rFonts w:ascii="Calibri" w:hAnsi="Calibri"/>
          <w:sz w:val="20"/>
          <w:szCs w:val="20"/>
        </w:rPr>
        <w:t>H</w:t>
      </w:r>
      <w:r w:rsidR="004E0243" w:rsidRPr="00650321">
        <w:rPr>
          <w:rFonts w:ascii="Calibri" w:hAnsi="Calibri"/>
          <w:sz w:val="20"/>
          <w:szCs w:val="20"/>
        </w:rPr>
        <w:t>13 – Uses appropriate terminology and reporting styles to communicate information and understanding</w:t>
      </w:r>
    </w:p>
    <w:p w:rsidR="00FE2D31" w:rsidRPr="00650321" w:rsidRDefault="00FE2D31" w:rsidP="00AA0C70">
      <w:pPr>
        <w:jc w:val="both"/>
        <w:rPr>
          <w:rFonts w:ascii="Calibri" w:hAnsi="Calibri"/>
          <w:sz w:val="20"/>
          <w:szCs w:val="20"/>
        </w:rPr>
      </w:pPr>
      <w:r w:rsidRPr="00650321">
        <w:rPr>
          <w:rFonts w:ascii="Calibri" w:hAnsi="Calibri"/>
          <w:sz w:val="20"/>
          <w:szCs w:val="20"/>
        </w:rPr>
        <w:t>H14 – Draws valid conclusions from gathered data and information</w:t>
      </w:r>
    </w:p>
    <w:p w:rsidR="004E0243" w:rsidRPr="004E0243" w:rsidRDefault="004E0243" w:rsidP="00AA0C70">
      <w:pPr>
        <w:jc w:val="both"/>
        <w:rPr>
          <w:rFonts w:ascii="Calibri" w:hAnsi="Calibri"/>
        </w:rPr>
      </w:pPr>
    </w:p>
    <w:p w:rsidR="00142237" w:rsidRDefault="00616CAA" w:rsidP="00AA0C70">
      <w:pPr>
        <w:jc w:val="both"/>
        <w:rPr>
          <w:rFonts w:ascii="Calibri" w:hAnsi="Calibri"/>
          <w:b/>
          <w:sz w:val="22"/>
          <w:szCs w:val="22"/>
        </w:rPr>
      </w:pPr>
      <w:r w:rsidRPr="00616CAA">
        <w:rPr>
          <w:rFonts w:ascii="Calibri" w:hAnsi="Calibri"/>
          <w:b/>
          <w:sz w:val="22"/>
          <w:szCs w:val="22"/>
        </w:rPr>
        <w:t>The Task:</w:t>
      </w:r>
    </w:p>
    <w:p w:rsidR="005D0668" w:rsidRDefault="00FE2D31" w:rsidP="00AA0C70">
      <w:pPr>
        <w:jc w:val="both"/>
        <w:rPr>
          <w:rFonts w:ascii="Calibri" w:hAnsi="Calibri"/>
          <w:sz w:val="22"/>
          <w:szCs w:val="22"/>
        </w:rPr>
      </w:pPr>
      <w:r>
        <w:rPr>
          <w:rFonts w:ascii="Calibri" w:hAnsi="Calibri"/>
          <w:sz w:val="22"/>
          <w:szCs w:val="22"/>
        </w:rPr>
        <w:t>Using a variety of sources including books, the Internet and your own knowledge, you are to research how to</w:t>
      </w:r>
      <w:r w:rsidR="005D0668">
        <w:rPr>
          <w:rFonts w:ascii="Calibri" w:hAnsi="Calibri"/>
          <w:sz w:val="22"/>
          <w:szCs w:val="22"/>
        </w:rPr>
        <w:t xml:space="preserve"> </w:t>
      </w:r>
      <w:r w:rsidR="009639CC">
        <w:rPr>
          <w:rFonts w:ascii="Calibri" w:hAnsi="Calibri"/>
          <w:sz w:val="22"/>
          <w:szCs w:val="22"/>
        </w:rPr>
        <w:t>accurately measure the sulfate content in two different fertilisers – Epsom salt and a commercially available fertiliser.</w:t>
      </w:r>
      <w:r w:rsidR="00EA065C">
        <w:rPr>
          <w:rFonts w:ascii="Calibri" w:hAnsi="Calibri"/>
          <w:sz w:val="22"/>
          <w:szCs w:val="22"/>
        </w:rPr>
        <w:t xml:space="preserve"> </w:t>
      </w:r>
    </w:p>
    <w:p w:rsidR="005D0668" w:rsidRDefault="005D0668" w:rsidP="00AA0C70">
      <w:pPr>
        <w:jc w:val="both"/>
        <w:rPr>
          <w:rFonts w:ascii="Calibri" w:hAnsi="Calibri"/>
          <w:sz w:val="22"/>
          <w:szCs w:val="22"/>
        </w:rPr>
      </w:pPr>
    </w:p>
    <w:p w:rsidR="00EA065C" w:rsidRPr="00EA065C" w:rsidRDefault="00EA065C" w:rsidP="00EA065C">
      <w:pPr>
        <w:jc w:val="both"/>
        <w:rPr>
          <w:rFonts w:ascii="Calibri" w:hAnsi="Calibri"/>
          <w:b/>
          <w:sz w:val="22"/>
          <w:szCs w:val="22"/>
        </w:rPr>
      </w:pPr>
      <w:r>
        <w:rPr>
          <w:rFonts w:ascii="Calibri" w:hAnsi="Calibri"/>
          <w:b/>
          <w:sz w:val="22"/>
          <w:szCs w:val="22"/>
        </w:rPr>
        <w:t>Details</w:t>
      </w:r>
      <w:r w:rsidR="005D0668" w:rsidRPr="00AA103D">
        <w:rPr>
          <w:rFonts w:ascii="Calibri" w:hAnsi="Calibri"/>
          <w:b/>
          <w:sz w:val="22"/>
          <w:szCs w:val="22"/>
        </w:rPr>
        <w:t>:</w:t>
      </w:r>
    </w:p>
    <w:p w:rsidR="00E96418" w:rsidRDefault="00EA065C" w:rsidP="00EA065C">
      <w:pPr>
        <w:numPr>
          <w:ilvl w:val="0"/>
          <w:numId w:val="4"/>
        </w:numPr>
        <w:jc w:val="both"/>
        <w:rPr>
          <w:rFonts w:ascii="Calibri" w:hAnsi="Calibri"/>
          <w:sz w:val="22"/>
          <w:szCs w:val="22"/>
        </w:rPr>
      </w:pPr>
      <w:r w:rsidRPr="00E96418">
        <w:rPr>
          <w:rFonts w:ascii="Calibri" w:hAnsi="Calibri"/>
          <w:sz w:val="22"/>
          <w:szCs w:val="22"/>
        </w:rPr>
        <w:t xml:space="preserve">You are to </w:t>
      </w:r>
      <w:r w:rsidR="00E96418" w:rsidRPr="00E96418">
        <w:rPr>
          <w:rFonts w:ascii="Calibri" w:hAnsi="Calibri"/>
          <w:sz w:val="22"/>
          <w:szCs w:val="22"/>
        </w:rPr>
        <w:t xml:space="preserve">conduct </w:t>
      </w:r>
      <w:r w:rsidRPr="00E96418">
        <w:rPr>
          <w:rFonts w:ascii="Calibri" w:hAnsi="Calibri"/>
          <w:sz w:val="22"/>
          <w:szCs w:val="22"/>
        </w:rPr>
        <w:t xml:space="preserve">research and </w:t>
      </w:r>
      <w:r w:rsidRPr="00A34011">
        <w:rPr>
          <w:rFonts w:ascii="Calibri" w:hAnsi="Calibri"/>
          <w:b/>
          <w:sz w:val="22"/>
          <w:szCs w:val="22"/>
        </w:rPr>
        <w:t>use two different method</w:t>
      </w:r>
      <w:r w:rsidR="00E96418" w:rsidRPr="00A34011">
        <w:rPr>
          <w:rFonts w:ascii="Calibri" w:hAnsi="Calibri"/>
          <w:b/>
          <w:sz w:val="22"/>
          <w:szCs w:val="22"/>
        </w:rPr>
        <w:t>s</w:t>
      </w:r>
      <w:r w:rsidR="00E96418" w:rsidRPr="00E96418">
        <w:rPr>
          <w:rFonts w:ascii="Calibri" w:hAnsi="Calibri"/>
          <w:sz w:val="22"/>
          <w:szCs w:val="22"/>
        </w:rPr>
        <w:t xml:space="preserve"> (1 gravimetric, 1 volumetric) to determine sulfate content. </w:t>
      </w:r>
      <w:r w:rsidR="00E96418">
        <w:rPr>
          <w:rFonts w:ascii="Calibri" w:hAnsi="Calibri"/>
          <w:sz w:val="22"/>
          <w:szCs w:val="22"/>
        </w:rPr>
        <w:t xml:space="preserve">If you cannot come up with methods of your own, you may </w:t>
      </w:r>
      <w:r w:rsidR="00A34011">
        <w:rPr>
          <w:rFonts w:ascii="Calibri" w:hAnsi="Calibri"/>
          <w:sz w:val="22"/>
          <w:szCs w:val="22"/>
        </w:rPr>
        <w:t>“</w:t>
      </w:r>
      <w:r w:rsidR="00E96418">
        <w:rPr>
          <w:rFonts w:ascii="Calibri" w:hAnsi="Calibri"/>
          <w:sz w:val="22"/>
          <w:szCs w:val="22"/>
        </w:rPr>
        <w:t>purchase</w:t>
      </w:r>
      <w:r w:rsidR="00A34011">
        <w:rPr>
          <w:rFonts w:ascii="Calibri" w:hAnsi="Calibri"/>
          <w:sz w:val="22"/>
          <w:szCs w:val="22"/>
        </w:rPr>
        <w:t>”</w:t>
      </w:r>
      <w:r w:rsidR="00E96418">
        <w:rPr>
          <w:rFonts w:ascii="Calibri" w:hAnsi="Calibri"/>
          <w:sz w:val="22"/>
          <w:szCs w:val="22"/>
        </w:rPr>
        <w:t xml:space="preserve"> a hint (2 marks) or a full procedure (5 marks) from your teacher.</w:t>
      </w:r>
    </w:p>
    <w:p w:rsidR="00EA065C" w:rsidRDefault="00EA065C" w:rsidP="00EA065C">
      <w:pPr>
        <w:numPr>
          <w:ilvl w:val="0"/>
          <w:numId w:val="4"/>
        </w:numPr>
        <w:jc w:val="both"/>
        <w:rPr>
          <w:rFonts w:ascii="Calibri" w:hAnsi="Calibri"/>
          <w:sz w:val="22"/>
          <w:szCs w:val="22"/>
        </w:rPr>
      </w:pPr>
      <w:r w:rsidRPr="00E96418">
        <w:rPr>
          <w:rFonts w:ascii="Calibri" w:hAnsi="Calibri"/>
          <w:sz w:val="22"/>
          <w:szCs w:val="22"/>
        </w:rPr>
        <w:t>You are to identify data, plan, select equipment and perform first-hand investigations to measure the sulfate content of these two fertilisers and explain the chemistry involved</w:t>
      </w:r>
      <w:r w:rsidR="00E96418">
        <w:rPr>
          <w:rFonts w:ascii="Calibri" w:hAnsi="Calibri"/>
          <w:sz w:val="22"/>
          <w:szCs w:val="22"/>
        </w:rPr>
        <w:t xml:space="preserve"> using standard lab equipment.</w:t>
      </w:r>
      <w:r w:rsidR="00B244F1">
        <w:rPr>
          <w:rFonts w:ascii="Calibri" w:hAnsi="Calibri"/>
          <w:sz w:val="22"/>
          <w:szCs w:val="22"/>
        </w:rPr>
        <w:t xml:space="preserve"> </w:t>
      </w:r>
      <w:bookmarkStart w:id="0" w:name="_GoBack"/>
      <w:bookmarkEnd w:id="0"/>
    </w:p>
    <w:p w:rsidR="00A34011" w:rsidRPr="00A34011" w:rsidRDefault="00A34011" w:rsidP="00A34011">
      <w:pPr>
        <w:numPr>
          <w:ilvl w:val="0"/>
          <w:numId w:val="4"/>
        </w:numPr>
        <w:rPr>
          <w:rFonts w:ascii="Calibri" w:hAnsi="Calibri"/>
          <w:sz w:val="22"/>
          <w:szCs w:val="22"/>
        </w:rPr>
      </w:pPr>
      <w:r w:rsidRPr="00411A85">
        <w:rPr>
          <w:rFonts w:ascii="Calibri" w:hAnsi="Calibri"/>
          <w:sz w:val="22"/>
          <w:szCs w:val="22"/>
        </w:rPr>
        <w:t xml:space="preserve">The format is to be that of a formal laboratory write-up.  You must carry out a full risk assessment and show all relevant calculations to determine the percentage of sulfate in the sample. (See: “How to write an EPI Report” found </w:t>
      </w:r>
      <w:r>
        <w:rPr>
          <w:rFonts w:ascii="Calibri" w:hAnsi="Calibri"/>
          <w:sz w:val="22"/>
          <w:szCs w:val="22"/>
        </w:rPr>
        <w:t xml:space="preserve"> at </w:t>
      </w:r>
      <w:hyperlink r:id="rId11" w:history="1">
        <w:r w:rsidRPr="00411A85">
          <w:rPr>
            <w:rStyle w:val="Hyperlink"/>
            <w:rFonts w:ascii="Calibri" w:hAnsi="Calibri"/>
            <w:sz w:val="22"/>
            <w:szCs w:val="22"/>
          </w:rPr>
          <w:t>http://slider-chemistry-12.wikispaces.com/Chemical+Monitoring+and+Management</w:t>
        </w:r>
      </w:hyperlink>
      <w:r w:rsidRPr="00411A85">
        <w:rPr>
          <w:rFonts w:ascii="Calibri" w:hAnsi="Calibri"/>
          <w:sz w:val="22"/>
          <w:szCs w:val="22"/>
        </w:rPr>
        <w:t xml:space="preserve"> </w:t>
      </w:r>
    </w:p>
    <w:p w:rsidR="00EA065C" w:rsidRDefault="00EA065C" w:rsidP="00EA065C">
      <w:pPr>
        <w:numPr>
          <w:ilvl w:val="0"/>
          <w:numId w:val="4"/>
        </w:numPr>
        <w:jc w:val="both"/>
        <w:rPr>
          <w:rFonts w:ascii="Calibri" w:hAnsi="Calibri"/>
          <w:sz w:val="22"/>
          <w:szCs w:val="22"/>
        </w:rPr>
      </w:pPr>
      <w:r>
        <w:rPr>
          <w:rFonts w:ascii="Calibri" w:hAnsi="Calibri"/>
          <w:sz w:val="22"/>
          <w:szCs w:val="22"/>
        </w:rPr>
        <w:t>You must analyse the investigations, evaluating the reliability/validity of the results and propose solutions to problems encountered in the procedure.</w:t>
      </w:r>
    </w:p>
    <w:p w:rsidR="00EA065C" w:rsidRDefault="00B244F1" w:rsidP="00EA065C">
      <w:pPr>
        <w:numPr>
          <w:ilvl w:val="0"/>
          <w:numId w:val="4"/>
        </w:numPr>
        <w:jc w:val="both"/>
        <w:rPr>
          <w:rFonts w:ascii="Calibri" w:hAnsi="Calibri"/>
          <w:sz w:val="22"/>
          <w:szCs w:val="22"/>
        </w:rPr>
      </w:pPr>
      <w:r>
        <w:rPr>
          <w:rFonts w:ascii="Calibri" w:hAnsi="Calibri"/>
          <w:sz w:val="22"/>
          <w:szCs w:val="22"/>
        </w:rPr>
        <w:t>Five lessons</w:t>
      </w:r>
      <w:r w:rsidR="00EA065C">
        <w:rPr>
          <w:rFonts w:ascii="Calibri" w:hAnsi="Calibri"/>
          <w:sz w:val="22"/>
          <w:szCs w:val="22"/>
        </w:rPr>
        <w:t xml:space="preserve"> will be provided for the investigations to be carried out. No other time will be provided. Therefore, you must be PREPARED!</w:t>
      </w:r>
      <w:r w:rsidR="007044AA">
        <w:rPr>
          <w:rFonts w:ascii="Calibri" w:hAnsi="Calibri"/>
          <w:sz w:val="22"/>
          <w:szCs w:val="22"/>
        </w:rPr>
        <w:t xml:space="preserve"> </w:t>
      </w:r>
    </w:p>
    <w:p w:rsidR="00EA065C" w:rsidRPr="00E96418" w:rsidRDefault="00E96418" w:rsidP="00AA0C70">
      <w:pPr>
        <w:numPr>
          <w:ilvl w:val="0"/>
          <w:numId w:val="4"/>
        </w:numPr>
        <w:jc w:val="both"/>
        <w:rPr>
          <w:rFonts w:ascii="Calibri" w:hAnsi="Calibri"/>
          <w:sz w:val="22"/>
          <w:szCs w:val="22"/>
        </w:rPr>
      </w:pPr>
      <w:r w:rsidRPr="00E96418">
        <w:rPr>
          <w:rFonts w:ascii="Calibri" w:hAnsi="Calibri"/>
          <w:sz w:val="22"/>
          <w:szCs w:val="22"/>
        </w:rPr>
        <w:t>A mark for practical skills will be given during the investigations. This will include safe and competent use of laboratory equipment.</w:t>
      </w:r>
    </w:p>
    <w:p w:rsidR="00EA065C" w:rsidRDefault="00EA065C" w:rsidP="00AA0C70">
      <w:pPr>
        <w:jc w:val="both"/>
        <w:rPr>
          <w:rFonts w:ascii="Calibri" w:hAnsi="Calibri"/>
          <w:sz w:val="22"/>
          <w:szCs w:val="22"/>
        </w:rPr>
      </w:pPr>
    </w:p>
    <w:p w:rsidR="004D58C4" w:rsidRDefault="004D58C4" w:rsidP="00AA0C70">
      <w:pPr>
        <w:jc w:val="both"/>
        <w:rPr>
          <w:rFonts w:ascii="Calibri" w:hAnsi="Calibri"/>
          <w:sz w:val="22"/>
          <w:szCs w:val="22"/>
        </w:rPr>
      </w:pPr>
    </w:p>
    <w:p w:rsidR="00411A85" w:rsidRDefault="004D58C4" w:rsidP="004D58C4">
      <w:pPr>
        <w:rPr>
          <w:rFonts w:ascii="Calibri" w:hAnsi="Calibri"/>
          <w:b/>
          <w:sz w:val="22"/>
          <w:szCs w:val="22"/>
        </w:rPr>
      </w:pPr>
      <w:r w:rsidRPr="004D58C4">
        <w:rPr>
          <w:rFonts w:ascii="Calibri" w:hAnsi="Calibri"/>
          <w:b/>
          <w:sz w:val="22"/>
          <w:szCs w:val="22"/>
        </w:rPr>
        <w:t xml:space="preserve">Due Date: </w:t>
      </w:r>
      <w:r w:rsidR="00405B42">
        <w:rPr>
          <w:rFonts w:ascii="Calibri" w:hAnsi="Calibri"/>
          <w:b/>
          <w:sz w:val="22"/>
          <w:szCs w:val="22"/>
        </w:rPr>
        <w:t>Monday, 1</w:t>
      </w:r>
      <w:r w:rsidR="00B244F1">
        <w:rPr>
          <w:rFonts w:ascii="Calibri" w:hAnsi="Calibri"/>
          <w:b/>
          <w:sz w:val="22"/>
          <w:szCs w:val="22"/>
        </w:rPr>
        <w:t>3</w:t>
      </w:r>
      <w:r w:rsidR="00405B42" w:rsidRPr="00405B42">
        <w:rPr>
          <w:rFonts w:ascii="Calibri" w:hAnsi="Calibri"/>
          <w:b/>
          <w:sz w:val="22"/>
          <w:szCs w:val="22"/>
          <w:vertAlign w:val="superscript"/>
        </w:rPr>
        <w:t>th</w:t>
      </w:r>
      <w:r w:rsidR="00405B42">
        <w:rPr>
          <w:rFonts w:ascii="Calibri" w:hAnsi="Calibri"/>
          <w:b/>
          <w:sz w:val="22"/>
          <w:szCs w:val="22"/>
        </w:rPr>
        <w:t xml:space="preserve"> June, 201</w:t>
      </w:r>
      <w:r w:rsidR="00B244F1">
        <w:rPr>
          <w:rFonts w:ascii="Calibri" w:hAnsi="Calibri"/>
          <w:b/>
          <w:sz w:val="22"/>
          <w:szCs w:val="22"/>
        </w:rPr>
        <w:t>1</w:t>
      </w:r>
      <w:r w:rsidR="00405B42">
        <w:rPr>
          <w:rFonts w:ascii="Calibri" w:hAnsi="Calibri"/>
          <w:b/>
          <w:sz w:val="22"/>
          <w:szCs w:val="22"/>
        </w:rPr>
        <w:tab/>
      </w:r>
      <w:r w:rsidR="00405B42">
        <w:rPr>
          <w:rFonts w:ascii="Calibri" w:hAnsi="Calibri"/>
          <w:b/>
          <w:sz w:val="22"/>
          <w:szCs w:val="22"/>
        </w:rPr>
        <w:tab/>
        <w:t>Task weighting: 15%</w:t>
      </w:r>
    </w:p>
    <w:p w:rsidR="00411A85" w:rsidRDefault="00411A85" w:rsidP="00411A85">
      <w:pPr>
        <w:rPr>
          <w:sz w:val="18"/>
        </w:rPr>
      </w:pPr>
      <w:r>
        <w:rPr>
          <w:rFonts w:ascii="Calibri" w:hAnsi="Calibri"/>
          <w:b/>
          <w:sz w:val="22"/>
          <w:szCs w:val="22"/>
        </w:rPr>
        <w:br w:type="page"/>
      </w:r>
    </w:p>
    <w:p w:rsidR="00411A85" w:rsidRPr="00762009" w:rsidRDefault="00411A85" w:rsidP="00411A85">
      <w:pPr>
        <w:jc w:val="center"/>
        <w:rPr>
          <w:b/>
          <w:bCs/>
          <w:sz w:val="32"/>
        </w:rPr>
      </w:pPr>
      <w:r w:rsidRPr="00762009">
        <w:rPr>
          <w:b/>
          <w:bCs/>
          <w:sz w:val="32"/>
        </w:rPr>
        <w:t>Chemical Monitoring &amp; Management</w:t>
      </w:r>
    </w:p>
    <w:p w:rsidR="00411A85" w:rsidRPr="00762009" w:rsidRDefault="00411A85" w:rsidP="00411A85">
      <w:pPr>
        <w:jc w:val="center"/>
        <w:rPr>
          <w:b/>
          <w:bCs/>
          <w:sz w:val="32"/>
        </w:rPr>
      </w:pPr>
      <w:r w:rsidRPr="00762009">
        <w:rPr>
          <w:b/>
          <w:bCs/>
          <w:sz w:val="32"/>
        </w:rPr>
        <w:t>Open Investigation 2010</w:t>
      </w:r>
    </w:p>
    <w:p w:rsidR="00411A85" w:rsidRPr="00762009" w:rsidRDefault="00411A85" w:rsidP="00411A85">
      <w:pPr>
        <w:jc w:val="center"/>
        <w:rPr>
          <w:b/>
          <w:bCs/>
          <w:sz w:val="32"/>
        </w:rPr>
      </w:pPr>
      <w:r w:rsidRPr="00762009">
        <w:rPr>
          <w:b/>
          <w:bCs/>
          <w:sz w:val="32"/>
        </w:rPr>
        <w:t>Marking Criteria</w:t>
      </w:r>
    </w:p>
    <w:tbl>
      <w:tblPr>
        <w:tblW w:w="10363" w:type="dxa"/>
        <w:tblInd w:w="3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73"/>
        <w:gridCol w:w="848"/>
        <w:gridCol w:w="848"/>
        <w:gridCol w:w="848"/>
        <w:gridCol w:w="846"/>
      </w:tblGrid>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ASSESSMENT CRITERIA</w:t>
            </w:r>
          </w:p>
        </w:tc>
        <w:tc>
          <w:tcPr>
            <w:tcW w:w="3390" w:type="dxa"/>
            <w:gridSpan w:val="4"/>
            <w:tcBorders>
              <w:top w:val="single" w:sz="4" w:space="0" w:color="auto"/>
              <w:left w:val="single" w:sz="4" w:space="0" w:color="auto"/>
              <w:bottom w:val="single" w:sz="4" w:space="0" w:color="auto"/>
              <w:right w:val="single" w:sz="4" w:space="0" w:color="auto"/>
            </w:tcBorders>
          </w:tcPr>
          <w:p w:rsidR="00411A85" w:rsidRPr="00393826" w:rsidRDefault="00411A85" w:rsidP="00A34011">
            <w:pPr>
              <w:jc w:val="center"/>
              <w:rPr>
                <w:b/>
              </w:rPr>
            </w:pPr>
            <w:r>
              <w:rPr>
                <w:b/>
              </w:rPr>
              <w:t>Marks</w:t>
            </w:r>
          </w:p>
        </w:tc>
      </w:tr>
      <w:tr w:rsidR="00411A85" w:rsidTr="00762009">
        <w:trPr>
          <w:trHeight w:val="288"/>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Title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Background Information:</w:t>
            </w:r>
          </w:p>
          <w:p w:rsidR="00411A85" w:rsidRPr="004E63D0" w:rsidRDefault="00411A85" w:rsidP="00405B42">
            <w:pPr>
              <w:rPr>
                <w:bCs/>
              </w:rPr>
            </w:pPr>
            <w:r>
              <w:rPr>
                <w:bCs/>
              </w:rPr>
              <w:t xml:space="preserve">Process/chemistry </w:t>
            </w:r>
            <w:r w:rsidR="00D714CA">
              <w:rPr>
                <w:bCs/>
              </w:rPr>
              <w:t xml:space="preserve">of gravimetric analysis </w:t>
            </w:r>
            <w:r w:rsidR="00405B42">
              <w:rPr>
                <w:bCs/>
              </w:rPr>
              <w:t xml:space="preserve">fully </w:t>
            </w:r>
            <w:r w:rsidR="00405B42" w:rsidRPr="00405B42">
              <w:rPr>
                <w:b/>
                <w:bCs/>
              </w:rPr>
              <w:t>explained</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Pr="004E63D0" w:rsidRDefault="00D714CA" w:rsidP="00405B42">
            <w:pPr>
              <w:rPr>
                <w:bCs/>
              </w:rPr>
            </w:pPr>
            <w:r>
              <w:rPr>
                <w:bCs/>
              </w:rPr>
              <w:t xml:space="preserve">Process/chemistry of volumetric analysis </w:t>
            </w:r>
            <w:r w:rsidR="00405B42">
              <w:rPr>
                <w:bCs/>
              </w:rPr>
              <w:t xml:space="preserve">fully </w:t>
            </w:r>
            <w:r w:rsidR="00405B42" w:rsidRPr="00405B42">
              <w:rPr>
                <w:b/>
                <w:bCs/>
              </w:rPr>
              <w:t>explained</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D714CA" w:rsidP="00A34011">
            <w:pPr>
              <w:jc w:val="center"/>
            </w:pPr>
            <w:r>
              <w:t>3</w:t>
            </w:r>
          </w:p>
        </w:tc>
      </w:tr>
      <w:tr w:rsidR="00411A85" w:rsidTr="00762009">
        <w:trPr>
          <w:trHeight w:val="835"/>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r>
              <w:rPr>
                <w:b/>
                <w:bCs/>
              </w:rPr>
              <w:t>Hypothesis</w:t>
            </w:r>
            <w:r>
              <w:t xml:space="preserve">: </w:t>
            </w:r>
          </w:p>
          <w:p w:rsidR="00411A85" w:rsidRDefault="00411A85" w:rsidP="00A34011">
            <w:r>
              <w:t>Correctly phrased into a testable hypothesis</w:t>
            </w:r>
            <w:r w:rsidR="00D714CA">
              <w:t xml:space="preserve"> w/ supporting evidence/theories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05B42" w:rsidRDefault="00411A85" w:rsidP="00A34011">
            <w:pPr>
              <w:ind w:left="726" w:hanging="726"/>
              <w:rPr>
                <w:b/>
                <w:bCs/>
              </w:rPr>
            </w:pPr>
            <w:r>
              <w:rPr>
                <w:b/>
                <w:bCs/>
              </w:rPr>
              <w:t xml:space="preserve">Aim:   </w:t>
            </w:r>
          </w:p>
          <w:p w:rsidR="00411A85" w:rsidRDefault="00411A85" w:rsidP="00A34011">
            <w:pPr>
              <w:ind w:left="726" w:hanging="726"/>
            </w:pPr>
            <w:r>
              <w:t>An aim that includes the dependent and independent variables.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rPr>
                <w:b/>
                <w:bCs/>
              </w:rPr>
              <w:t>Design (method &amp; apparatus)</w:t>
            </w:r>
            <w:r>
              <w:t>:</w:t>
            </w:r>
          </w:p>
          <w:p w:rsidR="00411A85" w:rsidRDefault="00411A85" w:rsidP="00A34011">
            <w:pPr>
              <w:ind w:left="288" w:hanging="288"/>
            </w:pPr>
            <w:r>
              <w:tab/>
              <w:t xml:space="preserve">Accurately and fully </w:t>
            </w:r>
            <w:r w:rsidRPr="00762009">
              <w:rPr>
                <w:b/>
              </w:rPr>
              <w:t>identifies</w:t>
            </w:r>
            <w:r>
              <w:t xml:space="preserve"> equipment required </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independent variable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dependent variable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r>
            <w:r w:rsidRPr="00762009">
              <w:rPr>
                <w:b/>
              </w:rPr>
              <w:t>Identifies</w:t>
            </w:r>
            <w:r>
              <w:t xml:space="preserve"> the control variables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t>Diagram (pencil/computer, ruled, 2D, labelled)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pPr>
            <w:r>
              <w:tab/>
              <w:t xml:space="preserve">Logical </w:t>
            </w:r>
            <w:r w:rsidR="00F93A53">
              <w:t xml:space="preserve">and specific </w:t>
            </w:r>
            <w:r>
              <w:t xml:space="preserve">sequence of method </w:t>
            </w:r>
            <w:r w:rsidRPr="00762009">
              <w:rPr>
                <w:b/>
              </w:rPr>
              <w:t>described</w:t>
            </w:r>
            <w:r>
              <w:t xml:space="preserve"> and includes reliability</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F93A53"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05B42" w:rsidRDefault="00411A85" w:rsidP="00A34011">
            <w:pPr>
              <w:ind w:left="900" w:hanging="918"/>
              <w:rPr>
                <w:b/>
              </w:rPr>
            </w:pPr>
            <w:r w:rsidRPr="00CD6BC0">
              <w:rPr>
                <w:b/>
              </w:rPr>
              <w:t>Safety:</w:t>
            </w:r>
            <w:r>
              <w:rPr>
                <w:b/>
              </w:rPr>
              <w:t xml:space="preserve">   </w:t>
            </w:r>
          </w:p>
          <w:p w:rsidR="00411A85" w:rsidRDefault="00411A85" w:rsidP="00A34011">
            <w:pPr>
              <w:ind w:left="900" w:hanging="918"/>
            </w:pPr>
            <w:r>
              <w:t>Safety hazards identified and appropriate safety measures listed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Results:</w:t>
            </w:r>
          </w:p>
          <w:p w:rsidR="00411A85" w:rsidRDefault="00411A85" w:rsidP="00A34011">
            <w:r>
              <w:t>All relevant calculations accurately and clearly shown</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Pr="00324002" w:rsidRDefault="00411A85" w:rsidP="00A34011">
            <w:pPr>
              <w:rPr>
                <w:bCs/>
              </w:rPr>
            </w:pPr>
            <w:r>
              <w:rPr>
                <w:bCs/>
              </w:rPr>
              <w:t>Clear and accurate table of data included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vAlign w:val="bottom"/>
          </w:tcPr>
          <w:p w:rsidR="00411A85"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t>Correct units used throughout calculations</w:t>
            </w:r>
            <w:r w:rsidR="00F93A53">
              <w:t xml:space="preserve"> and data table</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Default="00F93A53" w:rsidP="00A34011">
            <w:r>
              <w:t>Fully labelled graph is provided</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Default="00F93A53" w:rsidP="00A34011">
            <w:r>
              <w:t>Provides relevant observations</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rPr>
                <w:b/>
                <w:bCs/>
              </w:rPr>
              <w:t>Discussion:</w:t>
            </w:r>
          </w:p>
          <w:p w:rsidR="00411A85" w:rsidRDefault="00411A85" w:rsidP="00A34011">
            <w:pPr>
              <w:ind w:left="288" w:hanging="288"/>
            </w:pPr>
            <w:r>
              <w:rPr>
                <w:b/>
                <w:bCs/>
              </w:rPr>
              <w:tab/>
              <w:t>Describes</w:t>
            </w:r>
            <w:r>
              <w:t xml:space="preserve"> the relationship / patterns found </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tab/>
              <w:t xml:space="preserve">Suggests probable reasons to </w:t>
            </w:r>
            <w:r>
              <w:rPr>
                <w:b/>
                <w:bCs/>
              </w:rPr>
              <w:t xml:space="preserve">explain </w:t>
            </w:r>
            <w:r>
              <w:t>relationship</w:t>
            </w:r>
            <w:r w:rsidR="00F93A53">
              <w:t xml:space="preserve"> w/ supporting evidence/scientific logic</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F93A53" w:rsidP="00A34011">
            <w:pPr>
              <w:jc w:val="center"/>
            </w:pPr>
            <w:r>
              <w:t>3</w:t>
            </w: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F93A53">
            <w:pPr>
              <w:ind w:left="288" w:hanging="288"/>
            </w:pPr>
            <w:r>
              <w:rPr>
                <w:b/>
                <w:bCs/>
              </w:rPr>
              <w:tab/>
              <w:t xml:space="preserve">Evaluates </w:t>
            </w:r>
            <w:r>
              <w:t xml:space="preserve">experiment for </w:t>
            </w:r>
            <w:r w:rsidR="00F93A53">
              <w:t>strengths and improvements</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88"/>
        </w:trPr>
        <w:tc>
          <w:tcPr>
            <w:tcW w:w="6973" w:type="dxa"/>
            <w:tcBorders>
              <w:top w:val="single" w:sz="4" w:space="0" w:color="auto"/>
              <w:left w:val="single" w:sz="4" w:space="0" w:color="auto"/>
              <w:bottom w:val="single" w:sz="4" w:space="0" w:color="auto"/>
              <w:right w:val="single" w:sz="4" w:space="0" w:color="auto"/>
            </w:tcBorders>
          </w:tcPr>
          <w:p w:rsidR="00411A85" w:rsidRPr="00F93A53" w:rsidRDefault="00411A85" w:rsidP="00F93A53">
            <w:pPr>
              <w:ind w:left="288" w:hanging="288"/>
              <w:rPr>
                <w:bCs/>
              </w:rPr>
            </w:pPr>
            <w:r>
              <w:rPr>
                <w:b/>
                <w:bCs/>
              </w:rPr>
              <w:tab/>
            </w:r>
            <w:r w:rsidR="00F93A53">
              <w:rPr>
                <w:b/>
                <w:bCs/>
              </w:rPr>
              <w:t xml:space="preserve">Evaluates </w:t>
            </w:r>
            <w:r w:rsidR="00F93A53">
              <w:rPr>
                <w:bCs/>
              </w:rPr>
              <w:t>reliability and validity of experiment</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ind w:left="288" w:hanging="288"/>
              <w:rPr>
                <w:b/>
                <w:bCs/>
              </w:rPr>
            </w:pPr>
            <w:r>
              <w:tab/>
              <w:t xml:space="preserve">Discussion demonstrates a sophisticated level of </w:t>
            </w:r>
            <w:r w:rsidRPr="001F1082">
              <w:rPr>
                <w:b/>
              </w:rPr>
              <w:t>analysis</w:t>
            </w:r>
            <w:r>
              <w:t xml:space="preserve"> of the investigation</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3</w:t>
            </w:r>
          </w:p>
        </w:tc>
      </w:tr>
      <w:tr w:rsidR="00411A85" w:rsidTr="00762009">
        <w:trPr>
          <w:trHeight w:val="547"/>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bCs/>
              </w:rPr>
            </w:pPr>
            <w:r>
              <w:rPr>
                <w:b/>
                <w:bCs/>
              </w:rPr>
              <w:t xml:space="preserve">Conclusion: </w:t>
            </w:r>
          </w:p>
          <w:p w:rsidR="00411A85" w:rsidRDefault="00411A85" w:rsidP="00A34011">
            <w:pPr>
              <w:rPr>
                <w:b/>
                <w:bCs/>
              </w:rPr>
            </w:pPr>
            <w:r>
              <w:t>Short and specifically answers the aim</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r>
              <w:t>States whether hypothesis is supported or rejected</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r>
      <w:tr w:rsidR="00411A85" w:rsidTr="00762009">
        <w:trPr>
          <w:trHeight w:val="562"/>
        </w:trPr>
        <w:tc>
          <w:tcPr>
            <w:tcW w:w="6973" w:type="dxa"/>
            <w:tcBorders>
              <w:top w:val="single" w:sz="4" w:space="0" w:color="auto"/>
              <w:left w:val="single" w:sz="4" w:space="0" w:color="auto"/>
              <w:bottom w:val="single" w:sz="4" w:space="0" w:color="auto"/>
              <w:right w:val="single" w:sz="4" w:space="0" w:color="auto"/>
            </w:tcBorders>
          </w:tcPr>
          <w:p w:rsidR="00411A85" w:rsidRDefault="00411A85" w:rsidP="00A34011">
            <w:pPr>
              <w:rPr>
                <w:b/>
              </w:rPr>
            </w:pPr>
            <w:r>
              <w:rPr>
                <w:b/>
              </w:rPr>
              <w:t>Presentation:</w:t>
            </w:r>
          </w:p>
          <w:p w:rsidR="00411A85" w:rsidRPr="00DA59D9" w:rsidRDefault="00411A85" w:rsidP="00A34011">
            <w:r>
              <w:t>Correct format / overall neatness</w:t>
            </w:r>
            <w:r w:rsidR="00F93A53">
              <w:t xml:space="preserve"> / bibliography</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p w:rsidR="00411A85" w:rsidRDefault="00411A85"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762009" w:rsidP="00762009">
            <w:pPr>
              <w:jc w:val="center"/>
            </w:pPr>
            <w:r>
              <w:t>3</w:t>
            </w:r>
          </w:p>
        </w:tc>
      </w:tr>
      <w:tr w:rsidR="00762009"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762009" w:rsidRPr="00762009" w:rsidRDefault="00762009" w:rsidP="00A34011">
            <w:r>
              <w:rPr>
                <w:b/>
              </w:rPr>
              <w:t xml:space="preserve">Demonstrates </w:t>
            </w:r>
            <w:r>
              <w:t>competent use of equipment during practicals</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762009" w:rsidRDefault="00762009" w:rsidP="00762009">
            <w:pPr>
              <w:jc w:val="center"/>
            </w:pPr>
            <w:r>
              <w:t>3</w:t>
            </w:r>
          </w:p>
        </w:tc>
      </w:tr>
      <w:tr w:rsidR="00762009"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762009" w:rsidRDefault="00762009" w:rsidP="00A34011">
            <w:pPr>
              <w:rPr>
                <w:b/>
              </w:rPr>
            </w:pPr>
            <w:r>
              <w:rPr>
                <w:b/>
              </w:rPr>
              <w:t xml:space="preserve">Demonstrates </w:t>
            </w:r>
            <w:r w:rsidRPr="00762009">
              <w:t>safe practices during practicals</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0</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1</w:t>
            </w:r>
          </w:p>
        </w:tc>
        <w:tc>
          <w:tcPr>
            <w:tcW w:w="848" w:type="dxa"/>
            <w:tcBorders>
              <w:top w:val="single" w:sz="4" w:space="0" w:color="auto"/>
              <w:left w:val="single" w:sz="4" w:space="0" w:color="auto"/>
              <w:bottom w:val="single" w:sz="4" w:space="0" w:color="auto"/>
              <w:right w:val="single" w:sz="4" w:space="0" w:color="auto"/>
            </w:tcBorders>
          </w:tcPr>
          <w:p w:rsidR="00762009" w:rsidRDefault="00762009" w:rsidP="00A34011">
            <w:pPr>
              <w:jc w:val="center"/>
            </w:pPr>
            <w:r>
              <w:t>2</w:t>
            </w:r>
          </w:p>
        </w:tc>
        <w:tc>
          <w:tcPr>
            <w:tcW w:w="846" w:type="dxa"/>
            <w:tcBorders>
              <w:top w:val="single" w:sz="4" w:space="0" w:color="auto"/>
              <w:left w:val="single" w:sz="4" w:space="0" w:color="auto"/>
              <w:bottom w:val="single" w:sz="4" w:space="0" w:color="auto"/>
              <w:right w:val="single" w:sz="4" w:space="0" w:color="auto"/>
            </w:tcBorders>
            <w:vAlign w:val="bottom"/>
          </w:tcPr>
          <w:p w:rsidR="00762009" w:rsidRDefault="00762009" w:rsidP="00762009">
            <w:pPr>
              <w:jc w:val="center"/>
            </w:pPr>
          </w:p>
        </w:tc>
      </w:tr>
      <w:tr w:rsidR="00F93A53" w:rsidTr="00762009">
        <w:trPr>
          <w:trHeight w:val="273"/>
        </w:trPr>
        <w:tc>
          <w:tcPr>
            <w:tcW w:w="6973" w:type="dxa"/>
            <w:tcBorders>
              <w:top w:val="single" w:sz="4" w:space="0" w:color="auto"/>
              <w:left w:val="single" w:sz="4" w:space="0" w:color="auto"/>
              <w:bottom w:val="single" w:sz="4" w:space="0" w:color="auto"/>
              <w:right w:val="single" w:sz="4" w:space="0" w:color="auto"/>
            </w:tcBorders>
          </w:tcPr>
          <w:p w:rsidR="00F93A53" w:rsidRPr="00F93A53" w:rsidRDefault="00F93A53" w:rsidP="00A34011">
            <w:r>
              <w:rPr>
                <w:b/>
              </w:rPr>
              <w:t xml:space="preserve">Hints “purchased” from teacher </w:t>
            </w:r>
            <w:r w:rsidRPr="00F93A53">
              <w:t>(</w:t>
            </w:r>
            <w:r>
              <w:t>Hint -2; Procedure -5)</w:t>
            </w: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c>
          <w:tcPr>
            <w:tcW w:w="846" w:type="dxa"/>
            <w:tcBorders>
              <w:top w:val="single" w:sz="4" w:space="0" w:color="auto"/>
              <w:left w:val="single" w:sz="4" w:space="0" w:color="auto"/>
              <w:bottom w:val="single" w:sz="4" w:space="0" w:color="auto"/>
              <w:right w:val="single" w:sz="4" w:space="0" w:color="auto"/>
            </w:tcBorders>
          </w:tcPr>
          <w:p w:rsidR="00F93A53" w:rsidRDefault="00F93A53" w:rsidP="00A34011">
            <w:pPr>
              <w:jc w:val="center"/>
            </w:pPr>
          </w:p>
        </w:tc>
      </w:tr>
      <w:tr w:rsidR="00411A85" w:rsidTr="00762009">
        <w:trPr>
          <w:trHeight w:val="577"/>
        </w:trPr>
        <w:tc>
          <w:tcPr>
            <w:tcW w:w="6973" w:type="dxa"/>
            <w:tcBorders>
              <w:top w:val="single" w:sz="4" w:space="0" w:color="auto"/>
              <w:left w:val="single" w:sz="4" w:space="0" w:color="auto"/>
              <w:bottom w:val="single" w:sz="4" w:space="0" w:color="auto"/>
              <w:right w:val="single" w:sz="4" w:space="0" w:color="auto"/>
            </w:tcBorders>
          </w:tcPr>
          <w:p w:rsidR="00411A85" w:rsidRPr="00A04202" w:rsidRDefault="00411A85" w:rsidP="00A34011">
            <w:pPr>
              <w:rPr>
                <w:b/>
              </w:rPr>
            </w:pPr>
          </w:p>
          <w:p w:rsidR="00411A85" w:rsidRPr="00A04202" w:rsidRDefault="00411A85" w:rsidP="00A34011">
            <w:r w:rsidRPr="00A04202">
              <w:rPr>
                <w:b/>
              </w:rPr>
              <w:t>TOTAL</w:t>
            </w: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8" w:type="dxa"/>
            <w:tcBorders>
              <w:top w:val="single" w:sz="4" w:space="0" w:color="auto"/>
              <w:left w:val="single" w:sz="4" w:space="0" w:color="auto"/>
              <w:bottom w:val="single" w:sz="4" w:space="0" w:color="auto"/>
              <w:right w:val="single" w:sz="4" w:space="0" w:color="auto"/>
            </w:tcBorders>
          </w:tcPr>
          <w:p w:rsidR="00411A85" w:rsidRDefault="00411A85" w:rsidP="00A34011">
            <w:pPr>
              <w:jc w:val="center"/>
            </w:pPr>
          </w:p>
        </w:tc>
        <w:tc>
          <w:tcPr>
            <w:tcW w:w="846" w:type="dxa"/>
            <w:tcBorders>
              <w:top w:val="single" w:sz="4" w:space="0" w:color="auto"/>
              <w:left w:val="single" w:sz="4" w:space="0" w:color="auto"/>
              <w:bottom w:val="single" w:sz="4" w:space="0" w:color="auto"/>
              <w:right w:val="single" w:sz="4" w:space="0" w:color="auto"/>
            </w:tcBorders>
            <w:vAlign w:val="bottom"/>
          </w:tcPr>
          <w:p w:rsidR="00411A85" w:rsidRDefault="00411A85" w:rsidP="00A34011">
            <w:pPr>
              <w:jc w:val="right"/>
            </w:pPr>
          </w:p>
          <w:p w:rsidR="00411A85" w:rsidRPr="00393826" w:rsidRDefault="00411A85" w:rsidP="00762009">
            <w:pPr>
              <w:jc w:val="right"/>
              <w:rPr>
                <w:b/>
              </w:rPr>
            </w:pPr>
            <w:r w:rsidRPr="00393826">
              <w:rPr>
                <w:b/>
              </w:rPr>
              <w:t>/</w:t>
            </w:r>
            <w:r w:rsidR="00762009">
              <w:rPr>
                <w:b/>
              </w:rPr>
              <w:t>60</w:t>
            </w:r>
          </w:p>
        </w:tc>
      </w:tr>
    </w:tbl>
    <w:p w:rsidR="00616CAA" w:rsidRPr="00647C26" w:rsidRDefault="00616CAA" w:rsidP="00762009">
      <w:pPr>
        <w:rPr>
          <w:rFonts w:ascii="Calibri" w:hAnsi="Calibri"/>
          <w:sz w:val="20"/>
          <w:szCs w:val="22"/>
        </w:rPr>
      </w:pPr>
    </w:p>
    <w:sectPr w:rsidR="00616CAA" w:rsidRPr="00647C26" w:rsidSect="00A94B35">
      <w:footerReference w:type="default" r:id="rId12"/>
      <w:pgSz w:w="12240" w:h="15840"/>
      <w:pgMar w:top="568" w:right="540" w:bottom="990" w:left="540" w:header="720" w:footer="2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B42" w:rsidRDefault="00405B42" w:rsidP="003B58E7">
      <w:r>
        <w:separator/>
      </w:r>
    </w:p>
  </w:endnote>
  <w:endnote w:type="continuationSeparator" w:id="0">
    <w:p w:rsidR="00405B42" w:rsidRDefault="00405B42" w:rsidP="003B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B42" w:rsidRPr="003B58E7" w:rsidRDefault="00405B42">
    <w:pPr>
      <w:pStyle w:val="Footer"/>
      <w:jc w:val="right"/>
      <w:rPr>
        <w:i/>
        <w:sz w:val="18"/>
      </w:rPr>
    </w:pPr>
    <w:r w:rsidRPr="003B58E7">
      <w:rPr>
        <w:i/>
        <w:sz w:val="18"/>
      </w:rPr>
      <w:t>1</w:t>
    </w:r>
    <w:r>
      <w:rPr>
        <w:i/>
        <w:sz w:val="18"/>
      </w:rPr>
      <w:t>2</w:t>
    </w:r>
    <w:r w:rsidRPr="003B58E7">
      <w:rPr>
        <w:i/>
        <w:sz w:val="18"/>
      </w:rPr>
      <w:t xml:space="preserve"> Chem Assessment</w:t>
    </w:r>
    <w:r>
      <w:rPr>
        <w:i/>
        <w:sz w:val="18"/>
      </w:rPr>
      <w:t xml:space="preserve"> 201</w:t>
    </w:r>
    <w:r w:rsidR="00B244F1">
      <w:rPr>
        <w:i/>
        <w:sz w:val="18"/>
      </w:rPr>
      <w:t>1</w:t>
    </w:r>
    <w:r w:rsidRPr="003B58E7">
      <w:rPr>
        <w:i/>
        <w:sz w:val="18"/>
      </w:rPr>
      <w:t xml:space="preserve"> –page </w:t>
    </w:r>
    <w:r w:rsidRPr="003B58E7">
      <w:rPr>
        <w:i/>
        <w:sz w:val="18"/>
      </w:rPr>
      <w:fldChar w:fldCharType="begin"/>
    </w:r>
    <w:r w:rsidRPr="003B58E7">
      <w:rPr>
        <w:i/>
        <w:sz w:val="18"/>
      </w:rPr>
      <w:instrText xml:space="preserve"> PAGE   \* MERGEFORMAT </w:instrText>
    </w:r>
    <w:r w:rsidRPr="003B58E7">
      <w:rPr>
        <w:i/>
        <w:sz w:val="18"/>
      </w:rPr>
      <w:fldChar w:fldCharType="separate"/>
    </w:r>
    <w:r w:rsidR="00B244F1">
      <w:rPr>
        <w:i/>
        <w:noProof/>
        <w:sz w:val="18"/>
      </w:rPr>
      <w:t>2</w:t>
    </w:r>
    <w:r w:rsidRPr="003B58E7">
      <w:rPr>
        <w:i/>
        <w:sz w:val="18"/>
      </w:rPr>
      <w:fldChar w:fldCharType="end"/>
    </w:r>
  </w:p>
  <w:p w:rsidR="00405B42" w:rsidRDefault="00405B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B42" w:rsidRDefault="00405B42" w:rsidP="003B58E7">
      <w:r>
        <w:separator/>
      </w:r>
    </w:p>
  </w:footnote>
  <w:footnote w:type="continuationSeparator" w:id="0">
    <w:p w:rsidR="00405B42" w:rsidRDefault="00405B42" w:rsidP="003B58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E3FCE"/>
    <w:multiLevelType w:val="hybridMultilevel"/>
    <w:tmpl w:val="29C6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E4870"/>
    <w:multiLevelType w:val="hybridMultilevel"/>
    <w:tmpl w:val="50C06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24416F"/>
    <w:multiLevelType w:val="hybridMultilevel"/>
    <w:tmpl w:val="E4DA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BF493F"/>
    <w:multiLevelType w:val="hybridMultilevel"/>
    <w:tmpl w:val="843EB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43"/>
    <w:rsid w:val="000111F1"/>
    <w:rsid w:val="00142237"/>
    <w:rsid w:val="0017283E"/>
    <w:rsid w:val="00182058"/>
    <w:rsid w:val="00212CC9"/>
    <w:rsid w:val="002315CA"/>
    <w:rsid w:val="00245178"/>
    <w:rsid w:val="00267E43"/>
    <w:rsid w:val="00291398"/>
    <w:rsid w:val="00397A48"/>
    <w:rsid w:val="003B2F56"/>
    <w:rsid w:val="003B58E7"/>
    <w:rsid w:val="003C3BDE"/>
    <w:rsid w:val="00405B42"/>
    <w:rsid w:val="00411A85"/>
    <w:rsid w:val="004D58C4"/>
    <w:rsid w:val="004E0243"/>
    <w:rsid w:val="005D0668"/>
    <w:rsid w:val="00616CAA"/>
    <w:rsid w:val="006267AD"/>
    <w:rsid w:val="00640C64"/>
    <w:rsid w:val="00646D2D"/>
    <w:rsid w:val="00647C26"/>
    <w:rsid w:val="00650321"/>
    <w:rsid w:val="00652906"/>
    <w:rsid w:val="00695C4E"/>
    <w:rsid w:val="006F431E"/>
    <w:rsid w:val="007044AA"/>
    <w:rsid w:val="00722DD6"/>
    <w:rsid w:val="00762009"/>
    <w:rsid w:val="009639CC"/>
    <w:rsid w:val="00965C05"/>
    <w:rsid w:val="00A007B6"/>
    <w:rsid w:val="00A34011"/>
    <w:rsid w:val="00A40C21"/>
    <w:rsid w:val="00A94B35"/>
    <w:rsid w:val="00AA0C70"/>
    <w:rsid w:val="00AA103D"/>
    <w:rsid w:val="00AF6F61"/>
    <w:rsid w:val="00B00912"/>
    <w:rsid w:val="00B244F1"/>
    <w:rsid w:val="00B944E7"/>
    <w:rsid w:val="00BA5C5E"/>
    <w:rsid w:val="00BC6D57"/>
    <w:rsid w:val="00C81730"/>
    <w:rsid w:val="00CE0904"/>
    <w:rsid w:val="00D714CA"/>
    <w:rsid w:val="00E96418"/>
    <w:rsid w:val="00EA065C"/>
    <w:rsid w:val="00EA2596"/>
    <w:rsid w:val="00ED4FBE"/>
    <w:rsid w:val="00F067BA"/>
    <w:rsid w:val="00F26BAD"/>
    <w:rsid w:val="00F93A53"/>
    <w:rsid w:val="00FE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243"/>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67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B58E7"/>
    <w:pPr>
      <w:tabs>
        <w:tab w:val="center" w:pos="4680"/>
        <w:tab w:val="right" w:pos="9360"/>
      </w:tabs>
    </w:pPr>
  </w:style>
  <w:style w:type="character" w:customStyle="1" w:styleId="HeaderChar">
    <w:name w:val="Header Char"/>
    <w:basedOn w:val="DefaultParagraphFont"/>
    <w:link w:val="Header"/>
    <w:uiPriority w:val="99"/>
    <w:rsid w:val="003B58E7"/>
    <w:rPr>
      <w:rFonts w:ascii="Times New Roman" w:eastAsia="Times New Roman" w:hAnsi="Times New Roman"/>
      <w:sz w:val="24"/>
      <w:szCs w:val="24"/>
      <w:lang w:val="en-AU"/>
    </w:rPr>
  </w:style>
  <w:style w:type="paragraph" w:styleId="Footer">
    <w:name w:val="footer"/>
    <w:basedOn w:val="Normal"/>
    <w:link w:val="FooterChar"/>
    <w:uiPriority w:val="99"/>
    <w:unhideWhenUsed/>
    <w:rsid w:val="003B58E7"/>
    <w:pPr>
      <w:tabs>
        <w:tab w:val="center" w:pos="4680"/>
        <w:tab w:val="right" w:pos="9360"/>
      </w:tabs>
    </w:pPr>
  </w:style>
  <w:style w:type="character" w:customStyle="1" w:styleId="FooterChar">
    <w:name w:val="Footer Char"/>
    <w:basedOn w:val="DefaultParagraphFont"/>
    <w:link w:val="Footer"/>
    <w:uiPriority w:val="99"/>
    <w:rsid w:val="003B58E7"/>
    <w:rPr>
      <w:rFonts w:ascii="Times New Roman" w:eastAsia="Times New Roman" w:hAnsi="Times New Roman"/>
      <w:sz w:val="24"/>
      <w:szCs w:val="24"/>
      <w:lang w:val="en-AU"/>
    </w:rPr>
  </w:style>
  <w:style w:type="character" w:styleId="Hyperlink">
    <w:name w:val="Hyperlink"/>
    <w:basedOn w:val="DefaultParagraphFont"/>
    <w:uiPriority w:val="99"/>
    <w:unhideWhenUsed/>
    <w:rsid w:val="00411A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243"/>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67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3B58E7"/>
    <w:pPr>
      <w:tabs>
        <w:tab w:val="center" w:pos="4680"/>
        <w:tab w:val="right" w:pos="9360"/>
      </w:tabs>
    </w:pPr>
  </w:style>
  <w:style w:type="character" w:customStyle="1" w:styleId="HeaderChar">
    <w:name w:val="Header Char"/>
    <w:basedOn w:val="DefaultParagraphFont"/>
    <w:link w:val="Header"/>
    <w:uiPriority w:val="99"/>
    <w:rsid w:val="003B58E7"/>
    <w:rPr>
      <w:rFonts w:ascii="Times New Roman" w:eastAsia="Times New Roman" w:hAnsi="Times New Roman"/>
      <w:sz w:val="24"/>
      <w:szCs w:val="24"/>
      <w:lang w:val="en-AU"/>
    </w:rPr>
  </w:style>
  <w:style w:type="paragraph" w:styleId="Footer">
    <w:name w:val="footer"/>
    <w:basedOn w:val="Normal"/>
    <w:link w:val="FooterChar"/>
    <w:uiPriority w:val="99"/>
    <w:unhideWhenUsed/>
    <w:rsid w:val="003B58E7"/>
    <w:pPr>
      <w:tabs>
        <w:tab w:val="center" w:pos="4680"/>
        <w:tab w:val="right" w:pos="9360"/>
      </w:tabs>
    </w:pPr>
  </w:style>
  <w:style w:type="character" w:customStyle="1" w:styleId="FooterChar">
    <w:name w:val="Footer Char"/>
    <w:basedOn w:val="DefaultParagraphFont"/>
    <w:link w:val="Footer"/>
    <w:uiPriority w:val="99"/>
    <w:rsid w:val="003B58E7"/>
    <w:rPr>
      <w:rFonts w:ascii="Times New Roman" w:eastAsia="Times New Roman" w:hAnsi="Times New Roman"/>
      <w:sz w:val="24"/>
      <w:szCs w:val="24"/>
      <w:lang w:val="en-AU"/>
    </w:rPr>
  </w:style>
  <w:style w:type="character" w:styleId="Hyperlink">
    <w:name w:val="Hyperlink"/>
    <w:basedOn w:val="DefaultParagraphFont"/>
    <w:uiPriority w:val="99"/>
    <w:unhideWhenUsed/>
    <w:rsid w:val="00411A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ider-chemistry-12.wikispaces.com/Chemical+Monitoring+and+Management"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_slider\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BB70D9FD-3A40-4303-AEC6-7802B7659D3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Links>
    <vt:vector size="6" baseType="variant">
      <vt:variant>
        <vt:i4>917616</vt:i4>
      </vt:variant>
      <vt:variant>
        <vt:i4>-1</vt:i4>
      </vt:variant>
      <vt:variant>
        <vt:i4>1105</vt:i4>
      </vt:variant>
      <vt:variant>
        <vt:i4>1</vt:i4>
      </vt:variant>
      <vt:variant>
        <vt:lpwstr>http://theacidhouse.files.wordpress.com/2009/11/acid_med1.jpg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Robert Slider</cp:lastModifiedBy>
  <cp:revision>2</cp:revision>
  <cp:lastPrinted>2010-04-28T02:40:00Z</cp:lastPrinted>
  <dcterms:created xsi:type="dcterms:W3CDTF">2011-05-05T06:06:00Z</dcterms:created>
  <dcterms:modified xsi:type="dcterms:W3CDTF">2011-05-05T06:06:00Z</dcterms:modified>
</cp:coreProperties>
</file>